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F" w:rsidRPr="001069BC" w:rsidRDefault="00DC45AF" w:rsidP="00DC45AF">
      <w:pPr>
        <w:ind w:left="2832"/>
        <w:jc w:val="center"/>
        <w:rPr>
          <w:sz w:val="22"/>
          <w:szCs w:val="22"/>
        </w:rPr>
      </w:pPr>
      <w:bookmarkStart w:id="0" w:name="_GoBack"/>
      <w:r w:rsidRPr="001069BC">
        <w:rPr>
          <w:sz w:val="22"/>
          <w:szCs w:val="22"/>
        </w:rPr>
        <w:tab/>
      </w:r>
    </w:p>
    <w:p w:rsidR="00DC45AF" w:rsidRPr="001069BC" w:rsidRDefault="00DC45AF" w:rsidP="00DC45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>Приложение № 1</w:t>
      </w:r>
    </w:p>
    <w:p w:rsidR="00DC45AF" w:rsidRPr="001069BC" w:rsidRDefault="00DC45AF" w:rsidP="00DC45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 xml:space="preserve">к приказу </w:t>
      </w:r>
      <w:proofErr w:type="spellStart"/>
      <w:r w:rsidRPr="001069BC">
        <w:rPr>
          <w:sz w:val="22"/>
          <w:szCs w:val="22"/>
        </w:rPr>
        <w:t>Минздравсоцразвития</w:t>
      </w:r>
      <w:proofErr w:type="spellEnd"/>
      <w:r w:rsidRPr="001069BC">
        <w:rPr>
          <w:sz w:val="22"/>
          <w:szCs w:val="22"/>
        </w:rPr>
        <w:t xml:space="preserve"> России</w:t>
      </w:r>
    </w:p>
    <w:p w:rsidR="00DC45AF" w:rsidRPr="001069BC" w:rsidRDefault="00DC45AF" w:rsidP="00DC45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 xml:space="preserve">от __________________ </w:t>
      </w:r>
      <w:smartTag w:uri="urn:schemas-microsoft-com:office:smarttags" w:element="metricconverter">
        <w:smartTagPr>
          <w:attr w:name="ProductID" w:val="2011 г"/>
        </w:smartTagPr>
        <w:r w:rsidRPr="001069BC">
          <w:rPr>
            <w:sz w:val="22"/>
            <w:szCs w:val="22"/>
          </w:rPr>
          <w:t>2011 г</w:t>
        </w:r>
      </w:smartTag>
      <w:r w:rsidRPr="001069BC">
        <w:rPr>
          <w:sz w:val="22"/>
          <w:szCs w:val="22"/>
        </w:rPr>
        <w:t>. № ______</w:t>
      </w:r>
    </w:p>
    <w:p w:rsidR="00DC45AF" w:rsidRPr="001069BC" w:rsidRDefault="00DC45AF" w:rsidP="00DC45AF">
      <w:pPr>
        <w:ind w:left="2832"/>
        <w:jc w:val="center"/>
        <w:rPr>
          <w:sz w:val="22"/>
          <w:szCs w:val="22"/>
        </w:rPr>
      </w:pPr>
    </w:p>
    <w:p w:rsidR="00DC45AF" w:rsidRPr="001069BC" w:rsidRDefault="00DC45AF" w:rsidP="00DC45A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069BC">
        <w:rPr>
          <w:b/>
          <w:sz w:val="22"/>
          <w:szCs w:val="22"/>
        </w:rPr>
        <w:t>НАЦИОНАЛЬНЫЙ КАЛЕНДАРЬ ПРОФИЛАКТИЧЕСКИХ ПРИВИВОК</w:t>
      </w:r>
    </w:p>
    <w:p w:rsidR="00DC45AF" w:rsidRPr="001069BC" w:rsidRDefault="00DC45AF" w:rsidP="00DC45A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453"/>
        <w:gridCol w:w="7699"/>
      </w:tblGrid>
      <w:tr w:rsidR="00DC45AF" w:rsidRPr="001069BC" w:rsidTr="0017540E">
        <w:trPr>
          <w:trHeight w:val="1144"/>
        </w:trPr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Категории и возраст граждан, подлежащих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профилактическим прививкам 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Наименование прививки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Порядок проведения профилактических прививок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Новорожденные </w:t>
            </w:r>
            <w:proofErr w:type="gramStart"/>
            <w:r w:rsidRPr="001069BC">
              <w:rPr>
                <w:sz w:val="22"/>
                <w:szCs w:val="22"/>
              </w:rPr>
              <w:t>в первые</w:t>
            </w:r>
            <w:proofErr w:type="gramEnd"/>
            <w:r w:rsidRPr="001069BC">
              <w:rPr>
                <w:sz w:val="22"/>
                <w:szCs w:val="22"/>
              </w:rPr>
              <w:t xml:space="preserve"> 24 часа жизни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Первая вакцинация против вирусного гепатита</w:t>
            </w:r>
            <w:proofErr w:type="gramStart"/>
            <w:r w:rsidRPr="001069B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Проводится в соответствии с инструкциями по применению вакцин новорожденным, в том числе из групп риска: родившиеся от матерей - носителей </w:t>
            </w:r>
            <w:proofErr w:type="spellStart"/>
            <w:r w:rsidRPr="001069BC">
              <w:rPr>
                <w:sz w:val="22"/>
                <w:szCs w:val="22"/>
              </w:rPr>
              <w:t>HBsAg</w:t>
            </w:r>
            <w:proofErr w:type="spellEnd"/>
            <w:r w:rsidRPr="001069BC">
              <w:rPr>
                <w:sz w:val="22"/>
                <w:szCs w:val="22"/>
              </w:rPr>
              <w:t xml:space="preserve">; больных вирусным гепатитом B или перенесших вирусный гепатит B в третьем триместре беременности; не имеющих результатов обследования на маркеры гепатита B; </w:t>
            </w:r>
            <w:proofErr w:type="gramStart"/>
            <w:r w:rsidRPr="001069BC">
              <w:rPr>
                <w:sz w:val="22"/>
                <w:szCs w:val="22"/>
              </w:rPr>
              <w:t>наркозависимых, в семьях, в которых есть носитель H</w:t>
            </w:r>
            <w:r w:rsidRPr="001069BC">
              <w:rPr>
                <w:sz w:val="22"/>
                <w:szCs w:val="22"/>
                <w:lang w:val="en-US"/>
              </w:rPr>
              <w:t>B</w:t>
            </w:r>
            <w:proofErr w:type="spellStart"/>
            <w:r w:rsidRPr="001069BC">
              <w:rPr>
                <w:sz w:val="22"/>
                <w:szCs w:val="22"/>
              </w:rPr>
              <w:t>sAg</w:t>
            </w:r>
            <w:proofErr w:type="spellEnd"/>
            <w:r w:rsidRPr="001069BC">
              <w:rPr>
                <w:sz w:val="22"/>
                <w:szCs w:val="22"/>
              </w:rPr>
              <w:t xml:space="preserve"> или больной острым вирусным гепатитом B и хроническими вирусными гепатитами (далее – группы риска).</w:t>
            </w:r>
            <w:proofErr w:type="gramEnd"/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Новорожденные на 3 - 7 день жизни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Вакцинация против туберкулеза 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Проводится новорожденным вакцинами для профилактики туберкулеза (для щадящей первичной иммунизации) в соответствии с инструкциями по их применению.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1 месяц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Вторая вакцинация против вирусного гепатита</w:t>
            </w:r>
            <w:proofErr w:type="gramStart"/>
            <w:r w:rsidRPr="001069B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Проводится в соответствии с инструкциями по применению вакцин детям данной возрастной группы, в том числе из групп риска 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2 месяца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Третья вакцинация против вирусного гепатита</w:t>
            </w:r>
            <w:proofErr w:type="gramStart"/>
            <w:r w:rsidRPr="001069BC">
              <w:rPr>
                <w:sz w:val="22"/>
                <w:szCs w:val="22"/>
              </w:rPr>
              <w:t xml:space="preserve"> В</w:t>
            </w:r>
            <w:proofErr w:type="gramEnd"/>
            <w:r w:rsidRPr="001069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DC45AF" w:rsidRPr="001069BC" w:rsidTr="0017540E">
        <w:trPr>
          <w:trHeight w:val="750"/>
        </w:trPr>
        <w:tc>
          <w:tcPr>
            <w:tcW w:w="3870" w:type="dxa"/>
            <w:vMerge w:val="restart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3 месяца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Первая вакцинация против дифтерии, коклюша, столбняка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DC45AF" w:rsidRPr="001069BC" w:rsidTr="0017540E">
        <w:trPr>
          <w:trHeight w:val="750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Первая вакцинация против гемофильной инфекции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ind w:firstLine="540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детям, относящимся к группам риска: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с </w:t>
            </w:r>
            <w:proofErr w:type="spellStart"/>
            <w:r w:rsidRPr="001069BC">
              <w:rPr>
                <w:sz w:val="22"/>
                <w:szCs w:val="22"/>
              </w:rPr>
              <w:t>иммунодефицитными</w:t>
            </w:r>
            <w:proofErr w:type="spellEnd"/>
            <w:r w:rsidRPr="001069BC">
              <w:rPr>
                <w:sz w:val="22"/>
                <w:szCs w:val="22"/>
              </w:rPr>
              <w:t xml:space="preserve"> состояниями или анатомическими дефектами, приводящими к резко повышенной опасности заболевания </w:t>
            </w:r>
            <w:proofErr w:type="spellStart"/>
            <w:r w:rsidRPr="001069BC">
              <w:rPr>
                <w:sz w:val="22"/>
                <w:szCs w:val="22"/>
              </w:rPr>
              <w:t>Hib</w:t>
            </w:r>
            <w:proofErr w:type="spellEnd"/>
            <w:r w:rsidRPr="001069BC">
              <w:rPr>
                <w:sz w:val="22"/>
                <w:szCs w:val="22"/>
              </w:rPr>
              <w:t>-инфекцией;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с </w:t>
            </w:r>
            <w:proofErr w:type="spellStart"/>
            <w:r w:rsidRPr="001069BC">
              <w:rPr>
                <w:sz w:val="22"/>
                <w:szCs w:val="22"/>
              </w:rPr>
              <w:t>онкогематологическими</w:t>
            </w:r>
            <w:proofErr w:type="spellEnd"/>
            <w:r w:rsidRPr="001069BC">
              <w:rPr>
                <w:sz w:val="22"/>
                <w:szCs w:val="22"/>
              </w:rPr>
              <w:t xml:space="preserve"> заболеваниями и/или длительно </w:t>
            </w:r>
            <w:proofErr w:type="gramStart"/>
            <w:r w:rsidRPr="001069BC">
              <w:rPr>
                <w:sz w:val="22"/>
                <w:szCs w:val="22"/>
              </w:rPr>
              <w:t>получающие</w:t>
            </w:r>
            <w:proofErr w:type="gramEnd"/>
            <w:r w:rsidRPr="001069BC">
              <w:rPr>
                <w:sz w:val="22"/>
                <w:szCs w:val="22"/>
              </w:rPr>
              <w:t xml:space="preserve"> </w:t>
            </w:r>
            <w:proofErr w:type="spellStart"/>
            <w:r w:rsidRPr="001069BC">
              <w:rPr>
                <w:sz w:val="22"/>
                <w:szCs w:val="22"/>
              </w:rPr>
              <w:lastRenderedPageBreak/>
              <w:t>иммуносупрессивную</w:t>
            </w:r>
            <w:proofErr w:type="spellEnd"/>
            <w:r w:rsidRPr="001069BC">
              <w:rPr>
                <w:sz w:val="22"/>
                <w:szCs w:val="22"/>
              </w:rPr>
              <w:t xml:space="preserve"> терапию;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1069BC">
              <w:rPr>
                <w:sz w:val="22"/>
                <w:szCs w:val="22"/>
              </w:rPr>
              <w:t>ВИЧ-инфицированным</w:t>
            </w:r>
            <w:proofErr w:type="gramEnd"/>
            <w:r w:rsidRPr="001069BC">
              <w:rPr>
                <w:sz w:val="22"/>
                <w:szCs w:val="22"/>
              </w:rPr>
              <w:t xml:space="preserve"> или рожденным от ВИЧ-инфицированных матерей;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1069BC">
              <w:rPr>
                <w:sz w:val="22"/>
                <w:szCs w:val="22"/>
              </w:rPr>
              <w:t>находящимся</w:t>
            </w:r>
            <w:proofErr w:type="gramEnd"/>
            <w:r w:rsidRPr="001069BC">
              <w:rPr>
                <w:sz w:val="22"/>
                <w:szCs w:val="22"/>
              </w:rPr>
              <w:t xml:space="preserve">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Примечание.</w:t>
            </w:r>
          </w:p>
          <w:p w:rsidR="00DC45AF" w:rsidRPr="001069BC" w:rsidRDefault="00DC45AF" w:rsidP="0017540E">
            <w:pPr>
              <w:ind w:firstLine="540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Курс вакцинации против гемофильной инфекции для детей в возрасте от 3 до 6 месяцев состоит из 3 инъекций по 0,5 мл с интервалом 1-1,5 месяца. </w:t>
            </w:r>
          </w:p>
          <w:p w:rsidR="00DC45AF" w:rsidRPr="001069BC" w:rsidRDefault="00DC45AF" w:rsidP="0017540E">
            <w:pPr>
              <w:ind w:firstLine="540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Для </w:t>
            </w:r>
            <w:proofErr w:type="gramStart"/>
            <w:r w:rsidRPr="001069BC">
              <w:rPr>
                <w:sz w:val="22"/>
                <w:szCs w:val="22"/>
              </w:rPr>
              <w:t>детей, не получивших первую вакцинацию в 3 месяца иммунизация проводится</w:t>
            </w:r>
            <w:proofErr w:type="gramEnd"/>
            <w:r w:rsidRPr="001069BC">
              <w:rPr>
                <w:sz w:val="22"/>
                <w:szCs w:val="22"/>
              </w:rPr>
              <w:t xml:space="preserve"> по следующей схеме:</w:t>
            </w:r>
          </w:p>
          <w:p w:rsidR="00DC45AF" w:rsidRPr="001069BC" w:rsidRDefault="00DC45AF" w:rsidP="0017540E">
            <w:pPr>
              <w:ind w:left="720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для детей в возрасте от 6 до 12 месяцев из 2 инъекций по 0,5 мл с интервалом в 1-1,5 месяца </w:t>
            </w:r>
          </w:p>
          <w:p w:rsidR="00DC45AF" w:rsidRPr="001069BC" w:rsidRDefault="00DC45AF" w:rsidP="0017540E">
            <w:pPr>
              <w:ind w:left="720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для  детей  от 1 года до 5 лет однократная инъекция 0,5 мл. </w:t>
            </w:r>
          </w:p>
        </w:tc>
      </w:tr>
      <w:tr w:rsidR="00DC45AF" w:rsidRPr="001069BC" w:rsidTr="0017540E">
        <w:trPr>
          <w:trHeight w:val="750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Первая вакцинация против полиомиелита 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Проводится вакцинами для профилактики полиомиелита (инактивированными) в соответствии с инструкциями по их применению </w:t>
            </w:r>
          </w:p>
        </w:tc>
      </w:tr>
      <w:tr w:rsidR="00DC45AF" w:rsidRPr="001069BC" w:rsidTr="0017540E">
        <w:trPr>
          <w:trHeight w:val="750"/>
        </w:trPr>
        <w:tc>
          <w:tcPr>
            <w:tcW w:w="3870" w:type="dxa"/>
            <w:vMerge w:val="restart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4,5 месяцев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Вторая вакцинация против дифтерии, коклюша, столбняка 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DC45AF" w:rsidRPr="001069BC" w:rsidTr="0017540E">
        <w:trPr>
          <w:trHeight w:val="750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Вторая вакцинация против гемофильной инфекции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DC45AF" w:rsidRPr="001069BC" w:rsidTr="0017540E">
        <w:trPr>
          <w:trHeight w:val="750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Вторая вакцинация против  полиомиелита 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Проводится вакцинами для профилактики полиомиелита (инактивированными) в соответствии с инструкциями по их применению </w:t>
            </w:r>
          </w:p>
        </w:tc>
      </w:tr>
      <w:tr w:rsidR="00DC45AF" w:rsidRPr="001069BC" w:rsidTr="0017540E">
        <w:trPr>
          <w:trHeight w:val="726"/>
        </w:trPr>
        <w:tc>
          <w:tcPr>
            <w:tcW w:w="3870" w:type="dxa"/>
            <w:vMerge w:val="restart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6 месяцев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Третья вакцинация против дифтерии, коклюша, столбняка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</w:tc>
      </w:tr>
      <w:tr w:rsidR="00DC45AF" w:rsidRPr="001069BC" w:rsidTr="0017540E">
        <w:trPr>
          <w:trHeight w:val="723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Третья вакцинация против вирусного гепатита</w:t>
            </w:r>
            <w:proofErr w:type="gramStart"/>
            <w:r w:rsidRPr="001069BC">
              <w:rPr>
                <w:sz w:val="22"/>
                <w:szCs w:val="22"/>
              </w:rPr>
              <w:t xml:space="preserve"> В</w:t>
            </w:r>
            <w:proofErr w:type="gramEnd"/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</w:tc>
      </w:tr>
      <w:tr w:rsidR="00DC45AF" w:rsidRPr="001069BC" w:rsidTr="0017540E">
        <w:trPr>
          <w:trHeight w:val="723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Третья вакцинация против гемофильной инфекции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</w:tc>
      </w:tr>
      <w:tr w:rsidR="00DC45AF" w:rsidRPr="001069BC" w:rsidTr="0017540E">
        <w:trPr>
          <w:trHeight w:val="723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Третья вакцинация против полиомиелита 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  <w:r w:rsidRPr="001069BC">
              <w:rPr>
                <w:bCs/>
                <w:sz w:val="22"/>
                <w:szCs w:val="22"/>
              </w:rPr>
              <w:t>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учреждения), по показаниям вакцинируются трехкратно вакцинами для профилактики полиомиелита (инактивированными).</w:t>
            </w:r>
          </w:p>
        </w:tc>
      </w:tr>
      <w:tr w:rsidR="00DC45AF" w:rsidRPr="001069BC" w:rsidTr="0017540E">
        <w:trPr>
          <w:trHeight w:val="1041"/>
        </w:trPr>
        <w:tc>
          <w:tcPr>
            <w:tcW w:w="3870" w:type="dxa"/>
            <w:vMerge w:val="restart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12 месяцев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Вакцинация против кори, краснухи, эпидемического паротита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C45AF" w:rsidRPr="001069BC" w:rsidTr="0017540E">
        <w:trPr>
          <w:trHeight w:val="967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Четвертая вакцинация против вирусного гепатита</w:t>
            </w:r>
            <w:proofErr w:type="gramStart"/>
            <w:r w:rsidRPr="001069B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DC45AF" w:rsidRPr="001069BC" w:rsidTr="0017540E">
        <w:trPr>
          <w:trHeight w:val="564"/>
        </w:trPr>
        <w:tc>
          <w:tcPr>
            <w:tcW w:w="3870" w:type="dxa"/>
            <w:vMerge w:val="restart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18 месяцев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Первая ревакцинация против дифтерии, коклюша, столбняка 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DC45AF" w:rsidRPr="001069BC" w:rsidTr="0017540E">
        <w:trPr>
          <w:trHeight w:val="562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Первая ревакцинация против полиомиелита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детям данной возрастной группы</w:t>
            </w:r>
            <w:r w:rsidRPr="001069BC">
              <w:rPr>
                <w:bCs/>
                <w:sz w:val="22"/>
                <w:szCs w:val="22"/>
              </w:rPr>
              <w:t xml:space="preserve"> вакцинами</w:t>
            </w:r>
            <w:r w:rsidRPr="001069BC">
              <w:rPr>
                <w:sz w:val="22"/>
                <w:szCs w:val="22"/>
              </w:rPr>
              <w:t xml:space="preserve"> для профилактики полиомиелита (живыми) в соответствии с инструкциями по их применению</w:t>
            </w:r>
            <w:r w:rsidRPr="001069BC">
              <w:rPr>
                <w:bCs/>
                <w:sz w:val="22"/>
                <w:szCs w:val="22"/>
              </w:rPr>
              <w:t>.</w:t>
            </w:r>
          </w:p>
        </w:tc>
      </w:tr>
      <w:tr w:rsidR="00DC45AF" w:rsidRPr="001069BC" w:rsidTr="0017540E">
        <w:trPr>
          <w:trHeight w:val="759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Ревакцинация против гемофильной инфекции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Ревакцинация проводят однократно детям, привитым на первом году жизни в соответствии с инструкциями по применению вакцин.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20 месяцев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Вторая ревакцинация против полиомиелита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97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детям данной возрастной группы</w:t>
            </w:r>
            <w:r w:rsidRPr="001069BC">
              <w:rPr>
                <w:bCs/>
                <w:sz w:val="22"/>
                <w:szCs w:val="22"/>
              </w:rPr>
              <w:t xml:space="preserve"> вакцинами</w:t>
            </w:r>
            <w:r w:rsidRPr="001069BC">
              <w:rPr>
                <w:sz w:val="22"/>
                <w:szCs w:val="22"/>
              </w:rPr>
              <w:t xml:space="preserve"> для профилактики полиомиелита (живыми) в соответствии с инструкциями по их применению</w:t>
            </w:r>
            <w:r w:rsidRPr="001069BC">
              <w:rPr>
                <w:bCs/>
                <w:sz w:val="22"/>
                <w:szCs w:val="22"/>
              </w:rPr>
              <w:t>.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6 лет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Ревакцинация против кори, краснухи, эпидемического паротита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данной возрастной группы, получившим вакцинацию против кори, краснухи, эпидемического паротита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6 - 7 лет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Вторая ревакцинация против дифтерии, столбняка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 анатоксинов с уменьшенным содержанием антигенов детям данной возрастной группы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в 7 лет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Ревакцинация против туберкулеза 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7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Проводится не инфицированным микобактериями туберкулеза </w:t>
            </w:r>
            <w:proofErr w:type="spellStart"/>
            <w:r w:rsidRPr="001069BC">
              <w:rPr>
                <w:sz w:val="22"/>
                <w:szCs w:val="22"/>
              </w:rPr>
              <w:lastRenderedPageBreak/>
              <w:t>туберкулиноотрицательным</w:t>
            </w:r>
            <w:proofErr w:type="spellEnd"/>
            <w:r w:rsidRPr="001069BC">
              <w:rPr>
                <w:sz w:val="22"/>
                <w:szCs w:val="22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 </w:t>
            </w:r>
          </w:p>
        </w:tc>
      </w:tr>
      <w:tr w:rsidR="00DC45AF" w:rsidRPr="001069BC" w:rsidTr="0017540E">
        <w:trPr>
          <w:trHeight w:val="535"/>
        </w:trPr>
        <w:tc>
          <w:tcPr>
            <w:tcW w:w="3870" w:type="dxa"/>
            <w:vMerge w:val="restart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lastRenderedPageBreak/>
              <w:t>Дети в 14 лет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Третья ревакцинация против дифтерии, столбняка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DC45AF" w:rsidRPr="001069BC" w:rsidTr="0017540E">
        <w:trPr>
          <w:trHeight w:val="653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Третья ревакцинация против полиомиелита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детям данной возрастной группы</w:t>
            </w:r>
            <w:r w:rsidRPr="001069BC">
              <w:rPr>
                <w:bCs/>
                <w:sz w:val="22"/>
                <w:szCs w:val="22"/>
              </w:rPr>
              <w:t xml:space="preserve"> вакцинами</w:t>
            </w:r>
            <w:r w:rsidRPr="001069BC">
              <w:rPr>
                <w:sz w:val="22"/>
                <w:szCs w:val="22"/>
              </w:rPr>
              <w:t xml:space="preserve"> для профилактики полиомиелита (живыми) в соответствии с инструкциями по их применению</w:t>
            </w:r>
            <w:r w:rsidRPr="001069BC">
              <w:rPr>
                <w:bCs/>
                <w:sz w:val="22"/>
                <w:szCs w:val="22"/>
              </w:rPr>
              <w:t>.</w:t>
            </w:r>
          </w:p>
        </w:tc>
      </w:tr>
      <w:tr w:rsidR="00DC45AF" w:rsidRPr="001069BC" w:rsidTr="0017540E">
        <w:trPr>
          <w:trHeight w:val="350"/>
        </w:trPr>
        <w:tc>
          <w:tcPr>
            <w:tcW w:w="3870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Ревакцинация против туберкулеза</w:t>
            </w:r>
          </w:p>
        </w:tc>
        <w:tc>
          <w:tcPr>
            <w:tcW w:w="7699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Проводится не инфицированным микобактериями туберкулеза </w:t>
            </w:r>
            <w:proofErr w:type="spellStart"/>
            <w:r w:rsidRPr="001069BC">
              <w:rPr>
                <w:sz w:val="22"/>
                <w:szCs w:val="22"/>
              </w:rPr>
              <w:t>туберкулиноотрицательным</w:t>
            </w:r>
            <w:proofErr w:type="spellEnd"/>
            <w:r w:rsidRPr="001069BC">
              <w:rPr>
                <w:sz w:val="22"/>
                <w:szCs w:val="22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В субъектах Российской Федерации с показателями заболеваемости туберкулезом, не превышающими 40 на 100 тыс. населения, ревакцинация против туберкулеза в 14 лет проводится </w:t>
            </w:r>
            <w:proofErr w:type="spellStart"/>
            <w:r w:rsidRPr="001069BC">
              <w:rPr>
                <w:sz w:val="22"/>
                <w:szCs w:val="22"/>
              </w:rPr>
              <w:t>туберкулиноотрицательным</w:t>
            </w:r>
            <w:proofErr w:type="spellEnd"/>
            <w:r w:rsidRPr="001069BC">
              <w:rPr>
                <w:sz w:val="22"/>
                <w:szCs w:val="22"/>
              </w:rPr>
              <w:t xml:space="preserve"> детям, не получившим прививку в 7 лет.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Взрослые от 18 лет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Ревакцинация против дифтерии, столбняка 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от 1 года до 18 лет, взрослые от 18 до 55 лет, не привитые ранее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Вакцинация против вирусного гепатита</w:t>
            </w:r>
            <w:proofErr w:type="gramStart"/>
            <w:r w:rsidRPr="001069B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и взрослым данных возрастных групп по схеме 0-1-6 (1 доза - в момент начала вакцинации, 2 доза - через месяц после 1 прививки, 3 доза - через 6 месяцев от начала иммунизации).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 от 1 года до 18 лет,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девушки от 18 до 25 лет 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Иммунизация против краснухи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детям от 1 года до 18 лет не болевшим, не привитым, привитым однократно против краснухи и девушкам от 18 до 25 лет, не болевшим, не привитым ранее.</w:t>
            </w:r>
          </w:p>
        </w:tc>
      </w:tr>
      <w:tr w:rsidR="00DC45AF" w:rsidRPr="001069BC" w:rsidTr="0017540E"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Дети с 6 месяцев, учащиеся 1 - 11 классов;  </w:t>
            </w:r>
            <w:r w:rsidRPr="001069BC">
              <w:rPr>
                <w:sz w:val="22"/>
                <w:szCs w:val="22"/>
              </w:rPr>
              <w:br/>
              <w:t xml:space="preserve">студенты высших профессиональных и средних профессиональных учебных заведений; взрослые, работающие по отдельным профессиям и должностям     </w:t>
            </w:r>
            <w:r w:rsidRPr="001069BC">
              <w:rPr>
                <w:sz w:val="22"/>
                <w:szCs w:val="22"/>
              </w:rPr>
              <w:br/>
              <w:t xml:space="preserve">(работники медицинских и              </w:t>
            </w:r>
            <w:r w:rsidRPr="001069BC">
              <w:rPr>
                <w:sz w:val="22"/>
                <w:szCs w:val="22"/>
              </w:rPr>
              <w:br/>
              <w:t xml:space="preserve">образовательных учреждений,           </w:t>
            </w:r>
            <w:r w:rsidRPr="001069BC">
              <w:rPr>
                <w:sz w:val="22"/>
                <w:szCs w:val="22"/>
              </w:rPr>
              <w:br/>
              <w:t xml:space="preserve">транспорта, коммунальной сферы и др.); взрослые старше 60 лет                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Вакцинация против гриппа 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653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DC45AF" w:rsidRPr="001069BC" w:rsidTr="0017540E">
        <w:trPr>
          <w:trHeight w:val="1612"/>
        </w:trPr>
        <w:tc>
          <w:tcPr>
            <w:tcW w:w="387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lastRenderedPageBreak/>
              <w:t>Дети в возрасте 15-17 лет включительно и взрослые в возрасте до 35 лет</w:t>
            </w:r>
          </w:p>
        </w:tc>
        <w:tc>
          <w:tcPr>
            <w:tcW w:w="3453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Иммунизация против кори</w:t>
            </w:r>
          </w:p>
        </w:tc>
        <w:tc>
          <w:tcPr>
            <w:tcW w:w="7699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Иммунизация против кори детям в возрасте 15-17 лет включительно и взрослым в возрасте до 35 лет, не привитым ранее, не имеющим сведений о прививках против кори и не болевшим корью ранее проводится в соответствии с инструкциями по применению вакцин двукратно с интервалом не менее 3-х месяцев между прививками.</w:t>
            </w:r>
          </w:p>
          <w:p w:rsidR="00DC45AF" w:rsidRPr="001069BC" w:rsidRDefault="00DC45AF" w:rsidP="0017540E">
            <w:pPr>
              <w:tabs>
                <w:tab w:val="left" w:pos="6012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привитые ранее однократно, подлежат проведению однократной иммунизации с интервалом не менее 3-х месяцев между прививками </w:t>
            </w:r>
          </w:p>
        </w:tc>
      </w:tr>
    </w:tbl>
    <w:p w:rsidR="00DC45AF" w:rsidRPr="001069BC" w:rsidRDefault="00DC45AF" w:rsidP="00DC45A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>Примечания:</w:t>
      </w:r>
    </w:p>
    <w:p w:rsidR="00DC45AF" w:rsidRPr="001069BC" w:rsidRDefault="00DC45AF" w:rsidP="00DC45A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>1. 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DC45AF" w:rsidRPr="001069BC" w:rsidRDefault="00DC45AF" w:rsidP="00DC45A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 xml:space="preserve">2. При нарушении сроков иммунизации, ее проводят по предусмотренным национальным календарем профилактических прививок схемам,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 </w:t>
      </w:r>
    </w:p>
    <w:p w:rsidR="00DC45AF" w:rsidRPr="001069BC" w:rsidRDefault="00DC45AF" w:rsidP="00DC45AF">
      <w:pPr>
        <w:ind w:firstLine="540"/>
        <w:jc w:val="both"/>
        <w:rPr>
          <w:sz w:val="22"/>
          <w:szCs w:val="22"/>
        </w:rPr>
      </w:pPr>
      <w:r w:rsidRPr="001069BC">
        <w:rPr>
          <w:sz w:val="22"/>
          <w:szCs w:val="22"/>
        </w:rPr>
        <w:t>3. 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DC45AF" w:rsidRPr="001069BC" w:rsidRDefault="00DC45AF" w:rsidP="00DC45AF">
      <w:pPr>
        <w:ind w:firstLine="540"/>
        <w:jc w:val="both"/>
        <w:rPr>
          <w:sz w:val="22"/>
          <w:szCs w:val="22"/>
        </w:rPr>
      </w:pPr>
      <w:r w:rsidRPr="001069BC">
        <w:rPr>
          <w:sz w:val="22"/>
          <w:szCs w:val="22"/>
        </w:rPr>
        <w:t xml:space="preserve">4. Иммунизация детей, рожденных ВИЧ-инфицированными матерями и получавших </w:t>
      </w:r>
      <w:proofErr w:type="gramStart"/>
      <w:r w:rsidRPr="001069BC">
        <w:rPr>
          <w:sz w:val="22"/>
          <w:szCs w:val="22"/>
        </w:rPr>
        <w:t>трехэтапную</w:t>
      </w:r>
      <w:proofErr w:type="gramEnd"/>
      <w:r w:rsidRPr="001069BC">
        <w:rPr>
          <w:sz w:val="22"/>
          <w:szCs w:val="22"/>
        </w:rPr>
        <w:t xml:space="preserve"> </w:t>
      </w:r>
      <w:proofErr w:type="spellStart"/>
      <w:r w:rsidRPr="001069BC">
        <w:rPr>
          <w:sz w:val="22"/>
          <w:szCs w:val="22"/>
        </w:rPr>
        <w:t>химиопрофилактику</w:t>
      </w:r>
      <w:proofErr w:type="spellEnd"/>
      <w:r w:rsidRPr="001069BC">
        <w:rPr>
          <w:sz w:val="22"/>
          <w:szCs w:val="22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методами, вакцинация против туберкулеза не проводится.</w:t>
      </w:r>
    </w:p>
    <w:p w:rsidR="00DC45AF" w:rsidRPr="001069BC" w:rsidRDefault="00DC45AF" w:rsidP="00DC45AF">
      <w:pPr>
        <w:ind w:firstLine="540"/>
        <w:jc w:val="both"/>
        <w:rPr>
          <w:sz w:val="22"/>
          <w:szCs w:val="22"/>
        </w:rPr>
      </w:pPr>
      <w:r w:rsidRPr="001069BC">
        <w:rPr>
          <w:sz w:val="22"/>
          <w:szCs w:val="22"/>
        </w:rPr>
        <w:t>5. 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DC45AF" w:rsidRPr="001069BC" w:rsidRDefault="00DC45AF" w:rsidP="00DC45AF">
      <w:pPr>
        <w:ind w:firstLine="540"/>
        <w:jc w:val="both"/>
        <w:rPr>
          <w:sz w:val="22"/>
          <w:szCs w:val="22"/>
        </w:rPr>
      </w:pPr>
      <w:r w:rsidRPr="001069BC">
        <w:rPr>
          <w:sz w:val="22"/>
          <w:szCs w:val="22"/>
        </w:rPr>
        <w:t>6. 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DC45AF" w:rsidRPr="001069BC" w:rsidRDefault="00DC45AF" w:rsidP="00DC45AF">
      <w:pPr>
        <w:ind w:firstLine="540"/>
        <w:jc w:val="both"/>
        <w:rPr>
          <w:sz w:val="22"/>
          <w:szCs w:val="22"/>
        </w:rPr>
      </w:pPr>
      <w:r w:rsidRPr="001069BC">
        <w:rPr>
          <w:sz w:val="22"/>
          <w:szCs w:val="22"/>
        </w:rPr>
        <w:t>7. При исключении диагноза «ВИЧ-инфекция»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DC45AF" w:rsidRPr="001069BC" w:rsidRDefault="00DC45AF" w:rsidP="00DC45AF">
      <w:pPr>
        <w:ind w:firstLine="540"/>
        <w:jc w:val="both"/>
        <w:rPr>
          <w:sz w:val="22"/>
          <w:szCs w:val="22"/>
        </w:rPr>
      </w:pPr>
      <w:r w:rsidRPr="001069BC">
        <w:rPr>
          <w:sz w:val="22"/>
          <w:szCs w:val="22"/>
        </w:rPr>
        <w:t>8. Анатоксины, убитые и рекомбинантные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DC45AF" w:rsidRPr="001069BC" w:rsidRDefault="00DC45AF" w:rsidP="00DC45AF">
      <w:pPr>
        <w:ind w:firstLine="540"/>
        <w:jc w:val="both"/>
        <w:rPr>
          <w:sz w:val="22"/>
          <w:szCs w:val="22"/>
        </w:rPr>
      </w:pPr>
      <w:r w:rsidRPr="001069BC">
        <w:rPr>
          <w:sz w:val="22"/>
          <w:szCs w:val="22"/>
        </w:rPr>
        <w:t>9. При проведении иммунизации против гепатита</w:t>
      </w:r>
      <w:proofErr w:type="gramStart"/>
      <w:r w:rsidRPr="001069BC">
        <w:rPr>
          <w:sz w:val="22"/>
          <w:szCs w:val="22"/>
        </w:rPr>
        <w:t xml:space="preserve"> В</w:t>
      </w:r>
      <w:proofErr w:type="gramEnd"/>
      <w:r w:rsidRPr="001069BC">
        <w:rPr>
          <w:sz w:val="22"/>
          <w:szCs w:val="22"/>
        </w:rPr>
        <w:t xml:space="preserve"> детей первого года жизни, против гриппа детей с 6 месячного возраста и учащихся 1-11 классов школ используются вакцины без ртутьсодержащих консервантов.</w:t>
      </w:r>
    </w:p>
    <w:p w:rsidR="00DC45AF" w:rsidRPr="001069BC" w:rsidRDefault="00DC45AF" w:rsidP="00DC45A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C45AF" w:rsidRPr="001069BC" w:rsidRDefault="00DC45AF" w:rsidP="00DC45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C45AF" w:rsidRPr="001069BC" w:rsidRDefault="00DC45AF" w:rsidP="00DC45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C45AF" w:rsidRPr="001069BC" w:rsidRDefault="00DC45AF" w:rsidP="00DC45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>Приложение № 2</w:t>
      </w:r>
    </w:p>
    <w:p w:rsidR="00DC45AF" w:rsidRPr="001069BC" w:rsidRDefault="00DC45AF" w:rsidP="00DC45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 xml:space="preserve">к приказу </w:t>
      </w:r>
      <w:proofErr w:type="spellStart"/>
      <w:r w:rsidRPr="001069BC">
        <w:rPr>
          <w:sz w:val="22"/>
          <w:szCs w:val="22"/>
        </w:rPr>
        <w:t>Минздравсоцразвития</w:t>
      </w:r>
      <w:proofErr w:type="spellEnd"/>
      <w:r w:rsidRPr="001069BC">
        <w:rPr>
          <w:sz w:val="22"/>
          <w:szCs w:val="22"/>
        </w:rPr>
        <w:t xml:space="preserve"> России</w:t>
      </w:r>
    </w:p>
    <w:p w:rsidR="00DC45AF" w:rsidRPr="001069BC" w:rsidRDefault="00DC45AF" w:rsidP="00DC45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lastRenderedPageBreak/>
        <w:t xml:space="preserve">от __________________ </w:t>
      </w:r>
      <w:smartTag w:uri="urn:schemas-microsoft-com:office:smarttags" w:element="metricconverter">
        <w:smartTagPr>
          <w:attr w:name="ProductID" w:val="2011 г"/>
        </w:smartTagPr>
        <w:r w:rsidRPr="001069BC">
          <w:rPr>
            <w:sz w:val="22"/>
            <w:szCs w:val="22"/>
          </w:rPr>
          <w:t>2011 г</w:t>
        </w:r>
      </w:smartTag>
      <w:r w:rsidRPr="001069BC">
        <w:rPr>
          <w:sz w:val="22"/>
          <w:szCs w:val="22"/>
        </w:rPr>
        <w:t>. № ______</w:t>
      </w:r>
    </w:p>
    <w:p w:rsidR="00DC45AF" w:rsidRPr="001069BC" w:rsidRDefault="00DC45AF" w:rsidP="00DC45A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C45AF" w:rsidRPr="001069BC" w:rsidRDefault="00DC45AF" w:rsidP="00DC45A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069BC">
        <w:rPr>
          <w:b/>
          <w:sz w:val="22"/>
          <w:szCs w:val="22"/>
        </w:rPr>
        <w:t>КАЛЕНДАРЬ</w:t>
      </w:r>
    </w:p>
    <w:p w:rsidR="00DC45AF" w:rsidRPr="001069BC" w:rsidRDefault="00DC45AF" w:rsidP="00DC45A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069BC">
        <w:rPr>
          <w:b/>
          <w:sz w:val="22"/>
          <w:szCs w:val="22"/>
        </w:rPr>
        <w:t>ПРОФИЛАКТИЧЕСКИХ ПРИВИВОК ПО ЭПИДЕМИЧЕСКИМ ПОКАЗАНИЯМ</w:t>
      </w:r>
    </w:p>
    <w:p w:rsidR="00DC45AF" w:rsidRPr="001069BC" w:rsidRDefault="00DC45AF" w:rsidP="00DC45A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Style w:val="a3"/>
        <w:tblW w:w="15104" w:type="dxa"/>
        <w:tblLayout w:type="fixed"/>
        <w:tblLook w:val="01E0" w:firstRow="1" w:lastRow="1" w:firstColumn="1" w:lastColumn="1" w:noHBand="0" w:noVBand="0"/>
      </w:tblPr>
      <w:tblGrid>
        <w:gridCol w:w="2436"/>
        <w:gridCol w:w="8820"/>
        <w:gridCol w:w="3848"/>
      </w:tblGrid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Наименование прививки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Категории граждан, подлежащих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профилактическим прививкам по эпидемическим показаниям, и порядок их проведения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Сроки проведения профилактических прививок по эпидемическим показаниям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туляремии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Население, проживающее на энзоотичных по туляремии   территориях, а также прибывшие на эти территории   лица, выполняющие следующие работы: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1069BC">
              <w:rPr>
                <w:sz w:val="22"/>
                <w:szCs w:val="22"/>
              </w:rPr>
              <w:t xml:space="preserve">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1069BC">
              <w:rPr>
                <w:sz w:val="22"/>
                <w:szCs w:val="22"/>
              </w:rPr>
              <w:t>дератизационные</w:t>
            </w:r>
            <w:proofErr w:type="spellEnd"/>
            <w:r w:rsidRPr="001069BC">
              <w:rPr>
                <w:sz w:val="22"/>
                <w:szCs w:val="22"/>
              </w:rPr>
              <w:t xml:space="preserve"> и дезинсекционные;   </w:t>
            </w:r>
            <w:proofErr w:type="gramEnd"/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по лесозаготовке, расчистке и благоустройству леса, зон оздоровления и отдыха населения.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работающие с живыми культурами возбудителя туляремии                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Против чумы     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Население, проживающее на энзоотичных по чуме территориях.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работающие с живыми культурами возбудителя чумы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Против бруцеллеза 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очагах козье-овечьего типа лица, выполняющие следующие работы: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по убою скота, больного бруцеллезом, заготовке и переработке полученных от него мяса и мясопродуктов.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Животноводы, ветеринарные работники, зоотехники в хозяйствах, энзоотичных по бруцеллезу.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работающие с живыми культурами возбудителя бруцеллеза                 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rPr>
          <w:trHeight w:val="3944"/>
        </w:trPr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lastRenderedPageBreak/>
              <w:t>Против сибирской</w:t>
            </w:r>
            <w:r w:rsidRPr="001069BC">
              <w:rPr>
                <w:sz w:val="22"/>
                <w:szCs w:val="22"/>
              </w:rPr>
              <w:br/>
              <w:t xml:space="preserve">язвы            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выполняющие следующие работы: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proofErr w:type="spellStart"/>
            <w:r w:rsidRPr="001069BC">
              <w:rPr>
                <w:sz w:val="22"/>
                <w:szCs w:val="22"/>
              </w:rPr>
              <w:t>зооветработники</w:t>
            </w:r>
            <w:proofErr w:type="spellEnd"/>
            <w:r w:rsidRPr="001069BC">
              <w:rPr>
                <w:sz w:val="22"/>
                <w:szCs w:val="22"/>
              </w:rPr>
              <w:t xml:space="preserve"> и другие лица, профессионально занятые </w:t>
            </w:r>
            <w:proofErr w:type="spellStart"/>
            <w:r w:rsidRPr="001069BC">
              <w:rPr>
                <w:sz w:val="22"/>
                <w:szCs w:val="22"/>
              </w:rPr>
              <w:t>предубойным</w:t>
            </w:r>
            <w:proofErr w:type="spellEnd"/>
            <w:r w:rsidRPr="001069BC">
              <w:rPr>
                <w:sz w:val="22"/>
                <w:szCs w:val="22"/>
              </w:rPr>
              <w:t xml:space="preserve"> содержанием скота, а также убоем, снятием шкур и разделкой туш;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сбор, хранение, транспортировка и первичная переработка сырья животного происхождения;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1069BC">
              <w:rPr>
                <w:sz w:val="22"/>
                <w:szCs w:val="22"/>
              </w:rPr>
              <w:t xml:space="preserve">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  </w:t>
            </w:r>
            <w:proofErr w:type="gramEnd"/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Работники лабораторий, работающие с материалом, подозрительным на инфицирование возбудителем сибирской язвы. 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rPr>
          <w:trHeight w:val="2324"/>
        </w:trPr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бешенства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С профилактической целью иммунизируют лиц, имеющих высокий риск заражения бешенством: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работники лабораторий, работающие с уличным вирусом бешенства;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ветеринарные работники;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егеря, охотники, лесники;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выполняющие работы по отлову и содержанию животных</w:t>
            </w:r>
          </w:p>
        </w:tc>
        <w:tc>
          <w:tcPr>
            <w:tcW w:w="3848" w:type="dxa"/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Против          </w:t>
            </w:r>
            <w:r w:rsidRPr="001069BC">
              <w:rPr>
                <w:sz w:val="22"/>
                <w:szCs w:val="22"/>
              </w:rPr>
              <w:br/>
              <w:t xml:space="preserve">лептоспироза    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выполняющие следующие работы:   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по заготовке, хранению, обработке сырья и продуктов животноводства, полученных из хозяйств, расположенных на энзоотичных по лептоспирозу территориях; 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по убою скота, больного лептоспирозом, заготовке и переработке мяса и мясопродуктов полученных от больных лептоспирозом животных;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по отлову и содержанию безнадзорных животных.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работающие с живыми культурами возбудителя лептоспироза                  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клещевого вирусного</w:t>
            </w:r>
            <w:r w:rsidRPr="001069BC">
              <w:rPr>
                <w:sz w:val="22"/>
                <w:szCs w:val="22"/>
              </w:rPr>
              <w:br/>
              <w:t xml:space="preserve">энцефалита      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Население, проживающее на энзоотичных по клещевому вирусному энцефалиту территориях, а также прибывшие на эти территории лица, выполняющие следующие работы: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1069BC">
              <w:rPr>
                <w:sz w:val="22"/>
                <w:szCs w:val="22"/>
              </w:rPr>
              <w:t xml:space="preserve">сельскохозяйственные, гидромелиоративные, строительные, по выемке и перемещению грунта, заготовительные, промысловые, геологические, изыскательские, </w:t>
            </w:r>
            <w:r w:rsidRPr="001069BC">
              <w:rPr>
                <w:sz w:val="22"/>
                <w:szCs w:val="22"/>
              </w:rPr>
              <w:lastRenderedPageBreak/>
              <w:t xml:space="preserve">экспедиционные, </w:t>
            </w:r>
            <w:proofErr w:type="spellStart"/>
            <w:r w:rsidRPr="001069BC">
              <w:rPr>
                <w:sz w:val="22"/>
                <w:szCs w:val="22"/>
              </w:rPr>
              <w:t>дератизационные</w:t>
            </w:r>
            <w:proofErr w:type="spellEnd"/>
            <w:r w:rsidRPr="001069BC">
              <w:rPr>
                <w:sz w:val="22"/>
                <w:szCs w:val="22"/>
              </w:rPr>
              <w:t xml:space="preserve"> и дезинсекционные;   </w:t>
            </w:r>
            <w:proofErr w:type="gramEnd"/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по лесозаготовке, расчистке и благоустройству   леса, зон оздоровления и отдыха населения.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работающие с живыми культурами возбудителя клещевого энцефалита;   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color w:val="000000"/>
                <w:sz w:val="22"/>
                <w:szCs w:val="22"/>
              </w:rPr>
              <w:t>Лица, посещающие энзоотичные по клещевому энцефалиту территории с целью отдыха, туризма, работы на дачных и садовых участках.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lastRenderedPageBreak/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lastRenderedPageBreak/>
              <w:t>Против лихорадки</w:t>
            </w:r>
            <w:r w:rsidRPr="001069BC">
              <w:rPr>
                <w:sz w:val="22"/>
                <w:szCs w:val="22"/>
              </w:rPr>
              <w:br/>
              <w:t xml:space="preserve">Ку              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 скота.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работающие с живыми культурами возбудителей лихорадки Ку               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Против желтой   </w:t>
            </w:r>
            <w:r w:rsidRPr="001069BC">
              <w:rPr>
                <w:sz w:val="22"/>
                <w:szCs w:val="22"/>
              </w:rPr>
              <w:br/>
              <w:t xml:space="preserve">лихорадки       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выезжающие за рубеж в энзоотичные по желтой лихорадке районы.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работающие с живыми культурами возбудителя желтой лихорадки              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холеры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выезжающие в неблагополучные по холере страны.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Граждане Российской Федерации в случае   </w:t>
            </w:r>
            <w:r w:rsidRPr="001069BC">
              <w:rPr>
                <w:sz w:val="22"/>
                <w:szCs w:val="22"/>
              </w:rPr>
              <w:br/>
              <w:t>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Против брюшного </w:t>
            </w:r>
            <w:r w:rsidRPr="001069BC">
              <w:rPr>
                <w:sz w:val="22"/>
                <w:szCs w:val="22"/>
              </w:rPr>
              <w:br/>
              <w:t xml:space="preserve">тифа            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занятые в сфере коммунального благоустройства, (работники, обслуживающие канализационные сети, сооружения и оборудование, а также предприятий по санитарной очистке населенных мест - сбор, транспортировка и утилизация бытовых отходов);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работающие с живыми культурами возбудителей брюшного тифа.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Население, проживающее на территориях с хроническими водными эпидемиями брюшного тифа. 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выезжающие в </w:t>
            </w:r>
            <w:proofErr w:type="spellStart"/>
            <w:r w:rsidRPr="001069BC">
              <w:rPr>
                <w:sz w:val="22"/>
                <w:szCs w:val="22"/>
              </w:rPr>
              <w:t>гиперэндемичные</w:t>
            </w:r>
            <w:proofErr w:type="spellEnd"/>
            <w:r w:rsidRPr="001069BC">
              <w:rPr>
                <w:sz w:val="22"/>
                <w:szCs w:val="22"/>
              </w:rPr>
              <w:t xml:space="preserve"> по брюшному тифу регионы и страны.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1069BC">
              <w:rPr>
                <w:sz w:val="22"/>
                <w:szCs w:val="22"/>
              </w:rPr>
              <w:t>Контактные</w:t>
            </w:r>
            <w:proofErr w:type="gramEnd"/>
            <w:r w:rsidRPr="001069BC">
              <w:rPr>
                <w:sz w:val="22"/>
                <w:szCs w:val="22"/>
              </w:rPr>
              <w:t xml:space="preserve"> в очагах брюшного тифа по </w:t>
            </w:r>
            <w:proofErr w:type="spellStart"/>
            <w:r w:rsidRPr="001069BC">
              <w:rPr>
                <w:sz w:val="22"/>
                <w:szCs w:val="22"/>
              </w:rPr>
              <w:t>эпидпоказаниям</w:t>
            </w:r>
            <w:proofErr w:type="spellEnd"/>
            <w:r w:rsidRPr="001069BC">
              <w:rPr>
                <w:sz w:val="22"/>
                <w:szCs w:val="22"/>
              </w:rPr>
              <w:t>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   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вирусного</w:t>
            </w:r>
            <w:r w:rsidRPr="001069BC">
              <w:rPr>
                <w:sz w:val="22"/>
                <w:szCs w:val="22"/>
              </w:rPr>
              <w:br/>
              <w:t xml:space="preserve">гепатита A      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proofErr w:type="gramStart"/>
            <w:r w:rsidRPr="001069BC">
              <w:rPr>
                <w:sz w:val="22"/>
                <w:szCs w:val="22"/>
              </w:rPr>
              <w:t>Лица, подверженные профессиональному риску заражения (врачи, персонал по уходу за больными, работники сферы обслуживания населения, занятые на предприятиях пищевой промышленности, в организациях общественного питания, а также обслуживающие водопроводные и канализационные сооружения, оборудование и сети.</w:t>
            </w:r>
            <w:proofErr w:type="gramEnd"/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Лица, выезжающие в неблагополучные регионы и страны, где регистрируется вспышечная заболеваемость.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lastRenderedPageBreak/>
              <w:t>Контактные в очагах гепатита</w:t>
            </w:r>
            <w:proofErr w:type="gramStart"/>
            <w:r w:rsidRPr="001069B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lastRenderedPageBreak/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lastRenderedPageBreak/>
              <w:t xml:space="preserve">Против </w:t>
            </w:r>
            <w:proofErr w:type="spellStart"/>
            <w:r w:rsidRPr="001069BC">
              <w:rPr>
                <w:sz w:val="22"/>
                <w:szCs w:val="22"/>
              </w:rPr>
              <w:t>шигеллезов</w:t>
            </w:r>
            <w:proofErr w:type="spellEnd"/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44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Работники инфекционных стационаров и бактериологических лабораторий.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44"/>
              <w:jc w:val="both"/>
              <w:rPr>
                <w:sz w:val="22"/>
                <w:szCs w:val="22"/>
              </w:rPr>
            </w:pPr>
            <w:proofErr w:type="gramStart"/>
            <w:r w:rsidRPr="001069BC">
              <w:rPr>
                <w:sz w:val="22"/>
                <w:szCs w:val="22"/>
              </w:rPr>
              <w:t>Лица</w:t>
            </w:r>
            <w:proofErr w:type="gramEnd"/>
            <w:r w:rsidRPr="001069BC">
              <w:rPr>
                <w:sz w:val="22"/>
                <w:szCs w:val="22"/>
              </w:rPr>
              <w:t xml:space="preserve"> занятые в сфере общественного питания и коммунального благоустройства.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      Дети, посещающие детские учреждения и отъезжающие в оздоровительные лагеря (по показаниям).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44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 Профилактические прививки предпочтительно проводить перед сезонным подъемом заболеваемости </w:t>
            </w:r>
            <w:proofErr w:type="spellStart"/>
            <w:r w:rsidRPr="001069BC">
              <w:rPr>
                <w:sz w:val="22"/>
                <w:szCs w:val="22"/>
              </w:rPr>
              <w:t>шигеллезами</w:t>
            </w:r>
            <w:proofErr w:type="spellEnd"/>
            <w:r w:rsidRPr="001069BC">
              <w:rPr>
                <w:sz w:val="22"/>
                <w:szCs w:val="22"/>
              </w:rPr>
              <w:t>.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Против          </w:t>
            </w:r>
            <w:r w:rsidRPr="001069BC">
              <w:rPr>
                <w:sz w:val="22"/>
                <w:szCs w:val="22"/>
              </w:rPr>
              <w:br/>
              <w:t xml:space="preserve">менингококковой </w:t>
            </w:r>
            <w:r w:rsidRPr="001069BC">
              <w:rPr>
                <w:sz w:val="22"/>
                <w:szCs w:val="22"/>
              </w:rPr>
              <w:br/>
              <w:t>инфекции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Дети, подростки, взрослые в очагах менингококковой инфекции, вызванной менингококками </w:t>
            </w:r>
            <w:proofErr w:type="spellStart"/>
            <w:r w:rsidRPr="001069BC">
              <w:rPr>
                <w:sz w:val="22"/>
                <w:szCs w:val="22"/>
              </w:rPr>
              <w:t>серогрупп</w:t>
            </w:r>
            <w:proofErr w:type="spellEnd"/>
            <w:proofErr w:type="gramStart"/>
            <w:r w:rsidRPr="001069BC">
              <w:rPr>
                <w:sz w:val="22"/>
                <w:szCs w:val="22"/>
              </w:rPr>
              <w:t xml:space="preserve"> А</w:t>
            </w:r>
            <w:proofErr w:type="gramEnd"/>
            <w:r w:rsidRPr="001069BC">
              <w:rPr>
                <w:sz w:val="22"/>
                <w:szCs w:val="22"/>
              </w:rPr>
              <w:t xml:space="preserve"> или С. 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1069BC">
              <w:rPr>
                <w:sz w:val="22"/>
                <w:szCs w:val="22"/>
              </w:rPr>
              <w:t>серогрупп</w:t>
            </w:r>
            <w:proofErr w:type="spellEnd"/>
            <w:proofErr w:type="gramStart"/>
            <w:r w:rsidRPr="001069BC">
              <w:rPr>
                <w:sz w:val="22"/>
                <w:szCs w:val="22"/>
              </w:rPr>
              <w:t xml:space="preserve"> А</w:t>
            </w:r>
            <w:proofErr w:type="gramEnd"/>
            <w:r w:rsidRPr="001069BC">
              <w:rPr>
                <w:sz w:val="22"/>
                <w:szCs w:val="22"/>
              </w:rPr>
              <w:t xml:space="preserve"> или С.                 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кори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Контактные лица из очагов заболевания, не болевшие, не привитые и не имеющие сведений о профилактических прививках против кори, однократно привитые без ограничения возраста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гепатита</w:t>
            </w:r>
            <w:proofErr w:type="gramStart"/>
            <w:r w:rsidRPr="001069B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Контактные лица из очагов заболевания, не болевшие, не привитые и не имеющие сведений о профилактических прививках против гепатита</w:t>
            </w:r>
            <w:proofErr w:type="gramStart"/>
            <w:r w:rsidRPr="001069B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дифтерии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эпидемического паротита</w:t>
            </w:r>
          </w:p>
        </w:tc>
        <w:tc>
          <w:tcPr>
            <w:tcW w:w="8820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</w:t>
            </w:r>
          </w:p>
        </w:tc>
        <w:tc>
          <w:tcPr>
            <w:tcW w:w="3848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В соответствии с инструкциями по применению вакцин</w:t>
            </w:r>
          </w:p>
        </w:tc>
      </w:tr>
      <w:tr w:rsidR="00DC45AF" w:rsidRPr="001069BC" w:rsidTr="0017540E">
        <w:trPr>
          <w:trHeight w:val="174"/>
        </w:trPr>
        <w:tc>
          <w:tcPr>
            <w:tcW w:w="2436" w:type="dxa"/>
            <w:vMerge w:val="restart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Против полиомиелита</w:t>
            </w:r>
          </w:p>
        </w:tc>
        <w:tc>
          <w:tcPr>
            <w:tcW w:w="8820" w:type="dxa"/>
            <w:tcBorders>
              <w:bottom w:val="nil"/>
            </w:tcBorders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Прививкам подлежат </w:t>
            </w:r>
            <w:proofErr w:type="gramStart"/>
            <w:r w:rsidRPr="001069BC">
              <w:rPr>
                <w:sz w:val="22"/>
                <w:szCs w:val="22"/>
              </w:rPr>
              <w:t>контактные</w:t>
            </w:r>
            <w:proofErr w:type="gramEnd"/>
            <w:r w:rsidRPr="001069BC">
              <w:rPr>
                <w:sz w:val="22"/>
                <w:szCs w:val="22"/>
              </w:rPr>
              <w:t xml:space="preserve"> в очагах полиомиелита, в том числе вызванного диким </w:t>
            </w:r>
            <w:proofErr w:type="spellStart"/>
            <w:r w:rsidRPr="001069BC">
              <w:rPr>
                <w:sz w:val="22"/>
                <w:szCs w:val="22"/>
              </w:rPr>
              <w:t>полиовирусом</w:t>
            </w:r>
            <w:proofErr w:type="spellEnd"/>
            <w:r w:rsidRPr="001069BC">
              <w:rPr>
                <w:sz w:val="22"/>
                <w:szCs w:val="22"/>
              </w:rPr>
              <w:t xml:space="preserve"> (или при подозрении на заболевание):</w:t>
            </w:r>
          </w:p>
        </w:tc>
        <w:tc>
          <w:tcPr>
            <w:tcW w:w="3848" w:type="dxa"/>
            <w:tcBorders>
              <w:bottom w:val="nil"/>
            </w:tcBorders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C45AF" w:rsidRPr="001069BC" w:rsidTr="0017540E">
        <w:trPr>
          <w:trHeight w:val="748"/>
        </w:trPr>
        <w:tc>
          <w:tcPr>
            <w:tcW w:w="2436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right="-52" w:firstLine="444"/>
              <w:jc w:val="both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дети с 3 месяцев до 18 лет; </w:t>
            </w:r>
          </w:p>
        </w:tc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Однократно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C45AF" w:rsidRPr="001069BC" w:rsidTr="0017540E">
        <w:trPr>
          <w:trHeight w:val="893"/>
        </w:trPr>
        <w:tc>
          <w:tcPr>
            <w:tcW w:w="2436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медработники. </w:t>
            </w:r>
          </w:p>
        </w:tc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Однократно</w:t>
            </w:r>
          </w:p>
        </w:tc>
      </w:tr>
      <w:tr w:rsidR="00DC45AF" w:rsidRPr="001069BC" w:rsidTr="0017540E">
        <w:trPr>
          <w:trHeight w:val="1748"/>
        </w:trPr>
        <w:tc>
          <w:tcPr>
            <w:tcW w:w="2436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Дети, прибывшие из эндемичных (неблагополучных) по полиомиелиту стран (территорий) с 3 месяцев до 15 лет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Однократно (при наличии достоверных данных о предшествующих прививках), или трехкратно (при их отсутствии)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C45AF" w:rsidRPr="001069BC" w:rsidTr="0017540E">
        <w:trPr>
          <w:trHeight w:val="354"/>
        </w:trPr>
        <w:tc>
          <w:tcPr>
            <w:tcW w:w="2436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Лица без определенного места жительства (при их выявлении) с 3 месяцев до 15 лет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Однократно (при наличии достоверных данных о предшествующих прививках), или трехкратно (при их отсутствии)</w:t>
            </w:r>
          </w:p>
        </w:tc>
      </w:tr>
      <w:tr w:rsidR="00DC45AF" w:rsidRPr="001069BC" w:rsidTr="0017540E">
        <w:trPr>
          <w:trHeight w:val="1130"/>
        </w:trPr>
        <w:tc>
          <w:tcPr>
            <w:tcW w:w="2436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контактировавшие с </w:t>
            </w:r>
            <w:proofErr w:type="gramStart"/>
            <w:r w:rsidRPr="001069BC">
              <w:rPr>
                <w:sz w:val="22"/>
                <w:szCs w:val="22"/>
              </w:rPr>
              <w:t>прибывшими</w:t>
            </w:r>
            <w:proofErr w:type="gramEnd"/>
            <w:r w:rsidRPr="001069BC">
              <w:rPr>
                <w:sz w:val="22"/>
                <w:szCs w:val="22"/>
              </w:rPr>
              <w:t xml:space="preserve"> из эндемичных (неблагополучных) по полиомиелиту стран (территорий), с 3 месяцев жизни без ограничения возраста</w:t>
            </w:r>
          </w:p>
        </w:tc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Однократно</w:t>
            </w:r>
          </w:p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C45AF" w:rsidRPr="001069BC" w:rsidTr="0017540E">
        <w:trPr>
          <w:trHeight w:val="1088"/>
        </w:trPr>
        <w:tc>
          <w:tcPr>
            <w:tcW w:w="2436" w:type="dxa"/>
            <w:vMerge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32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Лица, работающие с живым </w:t>
            </w:r>
            <w:proofErr w:type="spellStart"/>
            <w:r w:rsidRPr="001069BC">
              <w:rPr>
                <w:sz w:val="22"/>
                <w:szCs w:val="22"/>
              </w:rPr>
              <w:t>полиовирусом</w:t>
            </w:r>
            <w:proofErr w:type="spellEnd"/>
            <w:r w:rsidRPr="001069BC">
              <w:rPr>
                <w:sz w:val="22"/>
                <w:szCs w:val="22"/>
              </w:rPr>
              <w:t>, с материалами, инфицированными (потенциально инфицированными) диким вирусом полиомиелита без ограничения возраста</w:t>
            </w:r>
          </w:p>
        </w:tc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>Однократно при приеме на работу</w:t>
            </w:r>
          </w:p>
        </w:tc>
      </w:tr>
      <w:tr w:rsidR="00DC45AF" w:rsidRPr="001069BC" w:rsidTr="0017540E">
        <w:trPr>
          <w:trHeight w:val="1088"/>
        </w:trPr>
        <w:tc>
          <w:tcPr>
            <w:tcW w:w="2436" w:type="dxa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nil"/>
              <w:bottom w:val="single" w:sz="4" w:space="0" w:color="auto"/>
            </w:tcBorders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ind w:firstLine="444"/>
              <w:jc w:val="both"/>
              <w:outlineLvl w:val="0"/>
              <w:rPr>
                <w:sz w:val="22"/>
                <w:szCs w:val="22"/>
              </w:rPr>
            </w:pPr>
            <w:r w:rsidRPr="001069BC">
              <w:rPr>
                <w:sz w:val="22"/>
                <w:szCs w:val="22"/>
              </w:rPr>
              <w:t xml:space="preserve">Иммунизация против полиомиелита по эпидемическим показаниям проводится оральной полиомиелитной вакциной. Показаниями для проведения иммунизации детей оральной полиомиелитной вакциной по эпидемическим показаниям являются регистрация случая полиомиелита, вызванного диким </w:t>
            </w:r>
            <w:proofErr w:type="spellStart"/>
            <w:r w:rsidRPr="001069BC">
              <w:rPr>
                <w:sz w:val="22"/>
                <w:szCs w:val="22"/>
              </w:rPr>
              <w:t>полиовирусом</w:t>
            </w:r>
            <w:proofErr w:type="spellEnd"/>
            <w:r w:rsidRPr="001069BC">
              <w:rPr>
                <w:sz w:val="22"/>
                <w:szCs w:val="22"/>
              </w:rPr>
              <w:t xml:space="preserve">, выделение дикого </w:t>
            </w:r>
            <w:proofErr w:type="spellStart"/>
            <w:r w:rsidRPr="001069BC">
              <w:rPr>
                <w:sz w:val="22"/>
                <w:szCs w:val="22"/>
              </w:rPr>
              <w:t>полиовируса</w:t>
            </w:r>
            <w:proofErr w:type="spellEnd"/>
            <w:r w:rsidRPr="001069BC">
              <w:rPr>
                <w:sz w:val="22"/>
                <w:szCs w:val="22"/>
              </w:rPr>
              <w:t xml:space="preserve"> в </w:t>
            </w:r>
            <w:proofErr w:type="spellStart"/>
            <w:r w:rsidRPr="001069BC">
              <w:rPr>
                <w:sz w:val="22"/>
                <w:szCs w:val="22"/>
              </w:rPr>
              <w:t>биопробных</w:t>
            </w:r>
            <w:proofErr w:type="spellEnd"/>
            <w:r w:rsidRPr="001069BC">
              <w:rPr>
                <w:sz w:val="22"/>
                <w:szCs w:val="22"/>
              </w:rPr>
              <w:t xml:space="preserve"> материалах от людей или из объектов окружающей среды. В этих случаях иммунизация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иммунизации, сроки, порядок и кратность ее проведения.</w:t>
            </w:r>
          </w:p>
        </w:tc>
        <w:tc>
          <w:tcPr>
            <w:tcW w:w="3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45AF" w:rsidRPr="001069BC" w:rsidRDefault="00DC45AF" w:rsidP="0017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C45AF" w:rsidRPr="001069BC" w:rsidRDefault="00DC45AF" w:rsidP="00DC45A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C45AF" w:rsidRPr="001069BC" w:rsidRDefault="00DC45AF" w:rsidP="00DC45A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C45AF" w:rsidRPr="001069BC" w:rsidRDefault="00DC45AF" w:rsidP="00DC45A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>Примечание.</w:t>
      </w:r>
    </w:p>
    <w:p w:rsidR="00DC45AF" w:rsidRPr="001069BC" w:rsidRDefault="00DC45AF" w:rsidP="00DC45A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1069BC">
        <w:rPr>
          <w:sz w:val="22"/>
          <w:szCs w:val="22"/>
        </w:rPr>
        <w:t xml:space="preserve">Допускается введение инактивированных вакцин, применяемых в рамках календаря профилактических прививок по эпидемическим показаниям и национального календаря профилактических прививок в один день разными шприцами в разные участки тела. </w:t>
      </w:r>
    </w:p>
    <w:p w:rsidR="00DC45AF" w:rsidRPr="001069BC" w:rsidRDefault="00DC45AF" w:rsidP="00DC45AF">
      <w:pPr>
        <w:rPr>
          <w:sz w:val="22"/>
          <w:szCs w:val="22"/>
        </w:rPr>
      </w:pPr>
    </w:p>
    <w:bookmarkEnd w:id="0"/>
    <w:p w:rsidR="00071DED" w:rsidRPr="001069BC" w:rsidRDefault="00071DED">
      <w:pPr>
        <w:rPr>
          <w:sz w:val="22"/>
          <w:szCs w:val="22"/>
        </w:rPr>
      </w:pPr>
    </w:p>
    <w:sectPr w:rsidR="00071DED" w:rsidRPr="001069BC" w:rsidSect="00AA24D2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43" w:rsidRDefault="00B66743">
      <w:r>
        <w:separator/>
      </w:r>
    </w:p>
  </w:endnote>
  <w:endnote w:type="continuationSeparator" w:id="0">
    <w:p w:rsidR="00B66743" w:rsidRDefault="00B6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43" w:rsidRDefault="00B66743">
      <w:r>
        <w:separator/>
      </w:r>
    </w:p>
  </w:footnote>
  <w:footnote w:type="continuationSeparator" w:id="0">
    <w:p w:rsidR="00B66743" w:rsidRDefault="00B6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A2" w:rsidRDefault="00DC45AF" w:rsidP="00AA24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2A2" w:rsidRDefault="00B667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A2" w:rsidRDefault="00DC45AF" w:rsidP="00AA24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9BC">
      <w:rPr>
        <w:rStyle w:val="a6"/>
        <w:noProof/>
      </w:rPr>
      <w:t>10</w:t>
    </w:r>
    <w:r>
      <w:rPr>
        <w:rStyle w:val="a6"/>
      </w:rPr>
      <w:fldChar w:fldCharType="end"/>
    </w:r>
  </w:p>
  <w:p w:rsidR="00E332A2" w:rsidRDefault="00B667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B"/>
    <w:rsid w:val="00071DED"/>
    <w:rsid w:val="001069BC"/>
    <w:rsid w:val="00626F4B"/>
    <w:rsid w:val="00B66743"/>
    <w:rsid w:val="00D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4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4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45AF"/>
  </w:style>
  <w:style w:type="paragraph" w:styleId="a7">
    <w:name w:val="Balloon Text"/>
    <w:basedOn w:val="a"/>
    <w:link w:val="a8"/>
    <w:uiPriority w:val="99"/>
    <w:semiHidden/>
    <w:unhideWhenUsed/>
    <w:rsid w:val="001069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4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4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45AF"/>
  </w:style>
  <w:style w:type="paragraph" w:styleId="a7">
    <w:name w:val="Balloon Text"/>
    <w:basedOn w:val="a"/>
    <w:link w:val="a8"/>
    <w:uiPriority w:val="99"/>
    <w:semiHidden/>
    <w:unhideWhenUsed/>
    <w:rsid w:val="001069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</dc:creator>
  <cp:keywords/>
  <dc:description/>
  <cp:lastModifiedBy>Komar</cp:lastModifiedBy>
  <cp:revision>4</cp:revision>
  <cp:lastPrinted>2011-03-30T02:20:00Z</cp:lastPrinted>
  <dcterms:created xsi:type="dcterms:W3CDTF">2011-03-27T07:14:00Z</dcterms:created>
  <dcterms:modified xsi:type="dcterms:W3CDTF">2011-03-30T02:20:00Z</dcterms:modified>
</cp:coreProperties>
</file>